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07" w:rsidRPr="0002251B" w:rsidRDefault="00EC6407" w:rsidP="00EC640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407" w:rsidRPr="0002251B" w:rsidRDefault="00EC6407" w:rsidP="00EC640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6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4"/>
        <w:gridCol w:w="7070"/>
      </w:tblGrid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222EA8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VY_32_INOVACE_0113</w:t>
            </w:r>
            <w:r w:rsidRPr="00222EA8">
              <w:rPr>
                <w:rFonts w:eastAsia="Times New Roman" w:cs="Arial"/>
                <w:sz w:val="24"/>
                <w:szCs w:val="24"/>
                <w:lang w:eastAsia="cs-CZ"/>
              </w:rPr>
              <w:t xml:space="preserve"> Peněžní prostředky, příjmy a výdaje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222EA8" w:rsidP="00222E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sz w:val="24"/>
                <w:szCs w:val="24"/>
                <w:lang w:eastAsia="cs-CZ"/>
              </w:rPr>
              <w:t>Účetnictví I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222EA8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222EA8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EC6407" w:rsidRPr="00222EA8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sz w:val="24"/>
                <w:szCs w:val="24"/>
                <w:lang w:eastAsia="cs-CZ"/>
              </w:rPr>
              <w:t>Peněžní prostředky, příjmy a výdaje</w:t>
            </w:r>
          </w:p>
        </w:tc>
      </w:tr>
      <w:tr w:rsidR="00EC6407" w:rsidRPr="0002251B" w:rsidTr="00222EA8">
        <w:trPr>
          <w:trHeight w:val="551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EC6407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222EA8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440A4C" w:rsidRPr="00222EA8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EC6407" w:rsidRPr="0002251B" w:rsidTr="00222EA8">
        <w:trPr>
          <w:trHeight w:val="551"/>
        </w:trPr>
        <w:tc>
          <w:tcPr>
            <w:tcW w:w="926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C6407" w:rsidRPr="00222EA8" w:rsidRDefault="0009492E" w:rsidP="006C471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EC6407" w:rsidRPr="0002251B" w:rsidRDefault="00EC6407" w:rsidP="00EC640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C6407" w:rsidRPr="0002251B" w:rsidRDefault="00EC6407" w:rsidP="00EC640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C6407" w:rsidRPr="0002251B" w:rsidRDefault="00EC6407" w:rsidP="00EC6407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C6407" w:rsidRDefault="00EC6407" w:rsidP="00EC6407"/>
    <w:p w:rsidR="009B06DE" w:rsidRDefault="009B06DE"/>
    <w:p w:rsidR="00EC6407" w:rsidRDefault="00EC6407"/>
    <w:p w:rsidR="00EC6407" w:rsidRDefault="00EC6407"/>
    <w:p w:rsidR="00EC6407" w:rsidRPr="00EC6407" w:rsidRDefault="00EC6407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407" w:rsidRPr="00EC6407" w:rsidRDefault="00EC6407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EC6407" w:rsidRPr="00EC6407" w:rsidRDefault="00EC6407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C6407"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  <w:drawing>
          <wp:inline distT="0" distB="0" distL="0" distR="0">
            <wp:extent cx="4048125" cy="2085975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EC6407" w:rsidRPr="00EC6407" w:rsidRDefault="00EC6407" w:rsidP="00EC6407">
      <w:pPr>
        <w:tabs>
          <w:tab w:val="left" w:pos="6315"/>
        </w:tabs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EC6407">
        <w:rPr>
          <w:rFonts w:ascii="Arial" w:eastAsia="Times New Roman" w:hAnsi="Arial" w:cs="Arial"/>
          <w:color w:val="7030A0"/>
          <w:sz w:val="24"/>
          <w:szCs w:val="24"/>
          <w:lang w:eastAsia="cs-CZ"/>
        </w:rPr>
        <w:tab/>
      </w:r>
    </w:p>
    <w:p w:rsidR="00EC6407" w:rsidRDefault="00EC6407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  <w:r w:rsidRPr="00EC6407"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  <w:t>Pokladna</w:t>
      </w:r>
      <w:r w:rsidR="0030624C"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  <w:t xml:space="preserve"> / hotovost</w:t>
      </w:r>
    </w:p>
    <w:p w:rsidR="009541D1" w:rsidRDefault="009541D1" w:rsidP="009541D1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9541D1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vykazuje počáteční stav, obrat příjmů a výdajů a konečný stav</w:t>
      </w:r>
    </w:p>
    <w:p w:rsidR="009541D1" w:rsidRPr="009541D1" w:rsidRDefault="009541D1" w:rsidP="009541D1">
      <w:pPr>
        <w:pStyle w:val="Odstavecseseznamem"/>
        <w:spacing w:before="100" w:beforeAutospacing="1" w:after="100" w:afterAutospacing="1" w:line="360" w:lineRule="auto"/>
        <w:ind w:left="1500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Default="009541D1" w:rsidP="009541D1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9541D1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 xml:space="preserve">v případě valutové pokladny eviduje pohyb hotovosti v cizí </w:t>
      </w:r>
      <w:r w:rsidR="00816FB2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br/>
      </w:r>
      <w:r w:rsidRPr="009541D1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i domácí měně a v rámci uzávěrkových op</w:t>
      </w:r>
      <w:r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erací výpočet kurzového rozdílu</w:t>
      </w:r>
    </w:p>
    <w:p w:rsidR="009541D1" w:rsidRPr="009541D1" w:rsidRDefault="009541D1" w:rsidP="009541D1">
      <w:pPr>
        <w:pStyle w:val="Odstavecseseznamem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9541D1" w:rsidRPr="009541D1" w:rsidRDefault="009541D1" w:rsidP="009541D1">
      <w:pPr>
        <w:pStyle w:val="Odstavecseseznamem"/>
        <w:spacing w:before="100" w:beforeAutospacing="1" w:after="100" w:afterAutospacing="1" w:line="360" w:lineRule="auto"/>
        <w:ind w:left="1500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Default="009541D1" w:rsidP="0030624C">
      <w:pPr>
        <w:pStyle w:val="Odstavecseseznamem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9541D1">
        <w:rPr>
          <w:rFonts w:ascii="Arial" w:eastAsia="Times New Roman" w:hAnsi="Arial" w:cs="Arial"/>
          <w:b/>
          <w:color w:val="FF9999"/>
          <w:sz w:val="24"/>
          <w:szCs w:val="24"/>
          <w:lang w:eastAsia="cs-CZ"/>
        </w:rPr>
        <w:t>p</w:t>
      </w:r>
      <w:r w:rsidR="0030624C" w:rsidRPr="009541D1">
        <w:rPr>
          <w:rFonts w:ascii="Arial" w:eastAsia="Times New Roman" w:hAnsi="Arial" w:cs="Arial"/>
          <w:b/>
          <w:color w:val="FF9999"/>
          <w:sz w:val="24"/>
          <w:szCs w:val="24"/>
          <w:lang w:eastAsia="cs-CZ"/>
        </w:rPr>
        <w:t>okladní kniha</w:t>
      </w:r>
      <w:r w:rsidR="0030624C" w:rsidRPr="0030624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 xml:space="preserve"> je samostatnou účetní knihou a slouží k evidenci příjmů a výdajů peněžní hotovosti v pokladně. Vedení pokladní knihy není povinné</w:t>
      </w:r>
    </w:p>
    <w:p w:rsidR="009541D1" w:rsidRPr="0030624C" w:rsidRDefault="009541D1" w:rsidP="009541D1">
      <w:pPr>
        <w:pStyle w:val="Odstavecseseznamem"/>
        <w:spacing w:before="100" w:beforeAutospacing="1" w:after="100" w:afterAutospacing="1" w:line="360" w:lineRule="auto"/>
        <w:ind w:left="1440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Pr="009541D1" w:rsidRDefault="009541D1" w:rsidP="009541D1">
      <w:pPr>
        <w:pStyle w:val="Odstavecseseznamem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9541D1">
        <w:rPr>
          <w:rFonts w:ascii="Arial" w:eastAsia="Times New Roman" w:hAnsi="Arial" w:cs="Arial"/>
          <w:b/>
          <w:color w:val="FF9999"/>
          <w:sz w:val="24"/>
          <w:szCs w:val="24"/>
          <w:lang w:eastAsia="cs-CZ"/>
        </w:rPr>
        <w:t>p</w:t>
      </w:r>
      <w:r w:rsidR="0030624C" w:rsidRPr="009541D1">
        <w:rPr>
          <w:rFonts w:ascii="Arial" w:eastAsia="Times New Roman" w:hAnsi="Arial" w:cs="Arial"/>
          <w:b/>
          <w:color w:val="FF9999"/>
          <w:sz w:val="24"/>
          <w:szCs w:val="24"/>
          <w:lang w:eastAsia="cs-CZ"/>
        </w:rPr>
        <w:t xml:space="preserve">okladní doklad </w:t>
      </w:r>
      <w:r w:rsidR="0030624C" w:rsidRPr="009541D1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musí obsahovat</w:t>
      </w:r>
      <w:r w:rsidRPr="009541D1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:</w:t>
      </w:r>
    </w:p>
    <w:p w:rsidR="0030624C" w:rsidRPr="0030624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30624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■označení pokladního dokladu, tj. název dokladu, jeho číslo a označení účetní jednotky</w:t>
      </w:r>
    </w:p>
    <w:p w:rsidR="009541D1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9541D1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9541D1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11" name="Obrázek 1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1D1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Pr="0030624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30624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■popis obsahu účetního případu a označení jeho účastníků, tzn. toho, kdo peněžní operaci provedl. Přiložený doklad o nákupu dokumentuje pravdivost pokladní operace a dává možnost její kontroly.</w:t>
      </w:r>
    </w:p>
    <w:p w:rsidR="009541D1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30624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■peněžní částku</w:t>
      </w:r>
    </w:p>
    <w:p w:rsidR="009541D1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30624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■datum vyhotovení pokladního dokladu</w:t>
      </w:r>
    </w:p>
    <w:p w:rsidR="009541D1" w:rsidRPr="0030624C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  <w:r w:rsidRPr="0030624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■podpis osoby odpovědné za účetní případ a osoby odpovědné za jeho zaúčtování.</w:t>
      </w:r>
    </w:p>
    <w:p w:rsidR="009541D1" w:rsidRPr="0030624C" w:rsidRDefault="009541D1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Pr="0022283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</w:pPr>
      <w:r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 xml:space="preserve">Potřebujeme-li zachytit stejnorodé účetní případy, můžeme je sumarizovat </w:t>
      </w:r>
      <w:r w:rsidR="00816FB2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br/>
      </w:r>
      <w:r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 xml:space="preserve">a vyhotovit jeden výdajový </w:t>
      </w:r>
      <w:r w:rsidR="0022283C"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>nebo</w:t>
      </w:r>
      <w:r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 xml:space="preserve"> příjmový pokladní doklad, tzv. </w:t>
      </w:r>
      <w:r w:rsidRPr="0022283C"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  <w:t>sběrný pokladní doklad.</w:t>
      </w:r>
      <w:r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 xml:space="preserve"> Sumarizace prvotních dokladů do sběrného pokladního dokladu je možná za dodržení následujících podmínek:</w:t>
      </w:r>
    </w:p>
    <w:p w:rsidR="0030624C" w:rsidRPr="0022283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</w:pPr>
    </w:p>
    <w:p w:rsidR="0030624C" w:rsidRPr="0022283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</w:pPr>
      <w:r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>■vytváření sběrného dokladu pouze z dokladů jednoho kalendářního měsíce</w:t>
      </w:r>
    </w:p>
    <w:p w:rsidR="0030624C" w:rsidRPr="0022283C" w:rsidRDefault="0030624C" w:rsidP="0030624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</w:pPr>
      <w:r w:rsidRPr="0022283C">
        <w:rPr>
          <w:rFonts w:ascii="Arial" w:eastAsia="Times New Roman" w:hAnsi="Arial" w:cs="Arial"/>
          <w:color w:val="262626" w:themeColor="text1" w:themeTint="D9"/>
          <w:sz w:val="24"/>
          <w:szCs w:val="24"/>
          <w:lang w:eastAsia="cs-CZ"/>
        </w:rPr>
        <w:t>■u účetních jednotek, které jsou plátci DPH, prvotní doklady rozdělit podle sazeb DPH</w:t>
      </w:r>
    </w:p>
    <w:p w:rsidR="0030624C" w:rsidRPr="0022283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F68C7B"/>
          <w:sz w:val="32"/>
          <w:szCs w:val="32"/>
          <w:lang w:eastAsia="cs-CZ"/>
        </w:rPr>
      </w:pPr>
    </w:p>
    <w:p w:rsidR="0030624C" w:rsidRPr="0022283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color w:val="F68C7B"/>
          <w:sz w:val="32"/>
          <w:szCs w:val="32"/>
          <w:lang w:eastAsia="cs-CZ"/>
        </w:rPr>
      </w:pPr>
    </w:p>
    <w:p w:rsidR="0030624C" w:rsidRPr="0030624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262626" w:themeColor="text1" w:themeTint="D9"/>
          <w:sz w:val="24"/>
          <w:szCs w:val="24"/>
          <w:lang w:eastAsia="cs-CZ"/>
        </w:rPr>
      </w:pPr>
    </w:p>
    <w:p w:rsidR="0030624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</w:p>
    <w:p w:rsidR="0030624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</w:p>
    <w:p w:rsidR="0030624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</w:p>
    <w:p w:rsidR="0030624C" w:rsidRDefault="0030624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</w:p>
    <w:p w:rsidR="0030624C" w:rsidRDefault="0022283C" w:rsidP="00FB1B86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12" name="Obrázek 1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83C" w:rsidRPr="00EC6407" w:rsidRDefault="0022283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</w:p>
    <w:p w:rsidR="00EC6407" w:rsidRDefault="00EC6407" w:rsidP="00EC6407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EC6407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Účtujeme na základě příjmových a výdajových pokladních dokladů</w:t>
      </w:r>
    </w:p>
    <w:p w:rsidR="0022283C" w:rsidRDefault="0022283C" w:rsidP="0022283C">
      <w:pPr>
        <w:spacing w:before="100" w:beforeAutospacing="1" w:after="100" w:afterAutospacing="1" w:line="36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30624C" w:rsidRDefault="0030624C" w:rsidP="0030624C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>
        <w:rPr>
          <w:rFonts w:ascii="Arial" w:hAnsi="Arial" w:cs="Arial"/>
          <w:noProof/>
          <w:sz w:val="19"/>
          <w:szCs w:val="19"/>
          <w:shd w:val="clear" w:color="auto" w:fill="FFFFFF"/>
          <w:lang w:eastAsia="cs-CZ"/>
        </w:rPr>
        <w:drawing>
          <wp:inline distT="0" distB="0" distL="0" distR="0">
            <wp:extent cx="5760720" cy="3966667"/>
            <wp:effectExtent l="0" t="0" r="0" b="0"/>
            <wp:docPr id="5" name="obrázek 1" descr="http://images.zbozi.cz/zbozi-images/528b550f0e863a1245df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zbozi.cz/zbozi-images/528b550f0e863a1245df00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66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24C" w:rsidRDefault="0030624C" w:rsidP="0030624C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30624C" w:rsidRDefault="0030624C" w:rsidP="0030624C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30624C" w:rsidRPr="00EC6407" w:rsidRDefault="0030624C" w:rsidP="0030624C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Default="00EC6407" w:rsidP="00EC6407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EC6407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Z pokladny můžeme zaplatit nákup, uhradit např. fakturu, daně, odvody z mezd, vyplatit mzdu, cestovné, vybrat peníze a následně vložit na účet ….</w:t>
      </w:r>
    </w:p>
    <w:p w:rsidR="0030624C" w:rsidRPr="00EC6407" w:rsidRDefault="0030624C" w:rsidP="0030624C">
      <w:pPr>
        <w:spacing w:before="100" w:beforeAutospacing="1" w:after="100" w:afterAutospacing="1" w:line="36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Pr="00EC6407" w:rsidRDefault="00EC6407" w:rsidP="00EC6407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EC6407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Do pokladny můžeme přijmout peníze za prodej, odběratel nám uhradí fakturu, můžeme vložit peníze, které jsme vybrali z účtu……</w:t>
      </w:r>
    </w:p>
    <w:p w:rsidR="00EC6407" w:rsidRPr="00EC6407" w:rsidRDefault="00EC6407" w:rsidP="00EC6407">
      <w:pPr>
        <w:spacing w:before="100" w:beforeAutospacing="1" w:after="100" w:afterAutospacing="1" w:line="36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Default="0022283C" w:rsidP="00FB1B86">
      <w:pPr>
        <w:spacing w:before="100" w:beforeAutospacing="1" w:after="100" w:afterAutospacing="1" w:line="36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13" name="Obrázek 1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83C" w:rsidRPr="00EC6407" w:rsidRDefault="0022283C" w:rsidP="00EC6407">
      <w:pPr>
        <w:spacing w:before="100" w:beforeAutospacing="1" w:after="100" w:afterAutospacing="1" w:line="36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Pr="00EC6407" w:rsidRDefault="00EC6407" w:rsidP="00EC6407">
      <w:pPr>
        <w:spacing w:before="100" w:beforeAutospacing="1" w:after="100" w:afterAutospacing="1" w:line="36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Default="00EC6407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  <w:r w:rsidRPr="00EC6407"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  <w:t>Bankovní účty</w:t>
      </w:r>
    </w:p>
    <w:p w:rsidR="0022283C" w:rsidRPr="00EC6407" w:rsidRDefault="0022283C" w:rsidP="00EC6407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Arial" w:eastAsia="Times New Roman" w:hAnsi="Arial" w:cs="Arial"/>
          <w:b/>
          <w:color w:val="F68C7B"/>
          <w:sz w:val="32"/>
          <w:szCs w:val="32"/>
          <w:lang w:eastAsia="cs-CZ"/>
        </w:rPr>
      </w:pPr>
    </w:p>
    <w:p w:rsid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 xml:space="preserve">Bankovní účet je finanční účet v bance, který zaznamenává finanční transakce mezi klientem a bankou </w:t>
      </w:r>
    </w:p>
    <w:p w:rsid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64616F"/>
          <w:sz w:val="24"/>
          <w:szCs w:val="24"/>
          <w:lang w:eastAsia="cs-CZ"/>
        </w:rPr>
        <w:t>S</w:t>
      </w: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 xml:space="preserve">leduje tak finanční situaci účtu. </w:t>
      </w:r>
    </w:p>
    <w:p w:rsid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 xml:space="preserve">Bankovní účty mohou mít kladný neboli kreditní zůstatek, kdy banka dluží peníze zákazníkovi, nebo záporný tedy debetní zůstatek, když zákazník dluží bance peníze. </w:t>
      </w:r>
    </w:p>
    <w:p w:rsid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Účty otevřené za účelem vkladů (kreditních zůstatků) jsou označovány jako depozitní účty, zatímco účty vedené za účelem půjček (debetních zůstatků) jsou označovány jako úvěrové účty.</w:t>
      </w:r>
    </w:p>
    <w:p w:rsidR="00290D32" w:rsidRP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 xml:space="preserve">Podle měny ve které je účet veden, se účty rozlišují na účty v tuzemské měně a devizové účty, které jsou vedeny v cizích měnách. </w:t>
      </w:r>
    </w:p>
    <w:p w:rsid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Devizové účty mají větší význam v ekonomikách, které nemají tuzemskou měnu volně směnitelnou.</w:t>
      </w:r>
    </w:p>
    <w:p w:rsidR="0022283C" w:rsidRDefault="0022283C" w:rsidP="0022283C">
      <w:p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22283C" w:rsidRDefault="0022283C" w:rsidP="0022283C">
      <w:p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22283C" w:rsidRDefault="0022283C" w:rsidP="0022283C">
      <w:p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22283C" w:rsidRPr="00290D32" w:rsidRDefault="0022283C" w:rsidP="0022283C">
      <w:p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290D32" w:rsidRDefault="00290D32" w:rsidP="00FB1B86">
      <w:p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D32" w:rsidRDefault="00290D32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290D32" w:rsidRPr="00176E7D" w:rsidRDefault="00290D32" w:rsidP="0022283C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b/>
          <w:color w:val="64616F"/>
          <w:sz w:val="24"/>
          <w:szCs w:val="24"/>
          <w:lang w:eastAsia="cs-CZ"/>
        </w:rPr>
      </w:pPr>
      <w:r w:rsidRPr="00176E7D">
        <w:rPr>
          <w:rFonts w:ascii="Arial" w:eastAsia="Times New Roman" w:hAnsi="Arial" w:cs="Arial"/>
          <w:b/>
          <w:color w:val="64616F"/>
          <w:sz w:val="24"/>
          <w:szCs w:val="24"/>
          <w:lang w:eastAsia="cs-CZ"/>
        </w:rPr>
        <w:t>Účtujeme na základě bankovního výpisu</w:t>
      </w:r>
      <w:r w:rsidR="0022283C" w:rsidRPr="00176E7D">
        <w:rPr>
          <w:rFonts w:ascii="Arial" w:eastAsia="Times New Roman" w:hAnsi="Arial" w:cs="Arial"/>
          <w:b/>
          <w:color w:val="64616F"/>
          <w:sz w:val="24"/>
          <w:szCs w:val="24"/>
          <w:lang w:eastAsia="cs-CZ"/>
        </w:rPr>
        <w:t>:</w:t>
      </w:r>
    </w:p>
    <w:p w:rsidR="00290D32" w:rsidRP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Vklad v hotovosti</w:t>
      </w:r>
    </w:p>
    <w:p w:rsidR="00290D32" w:rsidRP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Výběr v hotovosti</w:t>
      </w:r>
    </w:p>
    <w:p w:rsidR="00290D32" w:rsidRP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Příkaz k úhradě</w:t>
      </w:r>
    </w:p>
    <w:p w:rsidR="00290D32" w:rsidRPr="00290D32" w:rsidRDefault="00290D32" w:rsidP="0022283C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Příkaz k inkasu</w:t>
      </w:r>
    </w:p>
    <w:p w:rsidR="00290D32" w:rsidRPr="00290D32" w:rsidRDefault="00290D32" w:rsidP="00290D32">
      <w:pPr>
        <w:numPr>
          <w:ilvl w:val="0"/>
          <w:numId w:val="2"/>
        </w:numPr>
        <w:spacing w:before="100" w:beforeAutospacing="1" w:after="100" w:afterAutospacing="1" w:line="480" w:lineRule="auto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  <w:r w:rsidRPr="00290D32">
        <w:rPr>
          <w:rFonts w:ascii="Arial" w:eastAsia="Times New Roman" w:hAnsi="Arial" w:cs="Arial"/>
          <w:color w:val="64616F"/>
          <w:sz w:val="24"/>
          <w:szCs w:val="24"/>
          <w:lang w:eastAsia="cs-CZ"/>
        </w:rPr>
        <w:t>Bankovní poplatky</w:t>
      </w:r>
    </w:p>
    <w:p w:rsidR="00290D32" w:rsidRDefault="00290D32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176E7D" w:rsidRDefault="00176E7D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</w:pPr>
    </w:p>
    <w:p w:rsidR="00346C3A" w:rsidRDefault="00346C3A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</w:pPr>
    </w:p>
    <w:p w:rsidR="00346C3A" w:rsidRDefault="00346C3A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</w:pPr>
    </w:p>
    <w:p w:rsidR="00346C3A" w:rsidRDefault="00346C3A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176E7D" w:rsidRDefault="00176E7D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176E7D" w:rsidRDefault="00176E7D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176E7D" w:rsidRDefault="00176E7D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176E7D" w:rsidRDefault="00176E7D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176E7D" w:rsidRPr="00EC6407" w:rsidRDefault="00176E7D" w:rsidP="00290D32">
      <w:pPr>
        <w:spacing w:before="100" w:beforeAutospacing="1" w:after="100" w:afterAutospacing="1" w:line="480" w:lineRule="auto"/>
        <w:ind w:left="144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Pr="00EC6407" w:rsidRDefault="00EC6407" w:rsidP="00290D32">
      <w:pPr>
        <w:spacing w:before="100" w:beforeAutospacing="1" w:after="100" w:afterAutospacing="1" w:line="480" w:lineRule="auto"/>
        <w:ind w:left="720"/>
        <w:contextualSpacing/>
        <w:jc w:val="both"/>
        <w:rPr>
          <w:rFonts w:ascii="Arial" w:eastAsia="Times New Roman" w:hAnsi="Arial" w:cs="Arial"/>
          <w:color w:val="64616F"/>
          <w:sz w:val="24"/>
          <w:szCs w:val="24"/>
          <w:lang w:eastAsia="cs-CZ"/>
        </w:rPr>
      </w:pPr>
    </w:p>
    <w:p w:rsidR="00EC6407" w:rsidRPr="00EC6407" w:rsidRDefault="00EC6407" w:rsidP="00EC640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323232"/>
          <w:sz w:val="27"/>
          <w:szCs w:val="27"/>
          <w:lang w:eastAsia="cs-CZ"/>
        </w:rPr>
      </w:pPr>
    </w:p>
    <w:p w:rsidR="0000374A" w:rsidRDefault="0000374A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74A" w:rsidRDefault="0000374A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290D32" w:rsidRDefault="00290D32" w:rsidP="00290D32">
      <w:pPr>
        <w:spacing w:before="100" w:beforeAutospacing="1" w:after="100" w:afterAutospacing="1" w:line="240" w:lineRule="auto"/>
        <w:ind w:left="709"/>
        <w:outlineLvl w:val="2"/>
        <w:rPr>
          <w:rFonts w:ascii="Arial" w:eastAsia="Times New Roman" w:hAnsi="Arial" w:cs="Arial"/>
          <w:b/>
          <w:bCs/>
          <w:color w:val="F68C7B"/>
          <w:sz w:val="32"/>
          <w:szCs w:val="32"/>
          <w:lang w:eastAsia="cs-CZ"/>
        </w:rPr>
      </w:pPr>
      <w:r w:rsidRPr="00EC6407">
        <w:rPr>
          <w:rFonts w:ascii="Arial" w:eastAsia="Times New Roman" w:hAnsi="Arial" w:cs="Arial"/>
          <w:b/>
          <w:bCs/>
          <w:color w:val="F68C7B"/>
          <w:sz w:val="32"/>
          <w:szCs w:val="32"/>
          <w:lang w:eastAsia="cs-CZ"/>
        </w:rPr>
        <w:t>Ceniny</w:t>
      </w:r>
    </w:p>
    <w:p w:rsidR="00290D32" w:rsidRPr="00D46582" w:rsidRDefault="00290D32" w:rsidP="00D46582">
      <w:pPr>
        <w:pStyle w:val="Odstavecseseznamem"/>
        <w:numPr>
          <w:ilvl w:val="0"/>
          <w:numId w:val="9"/>
        </w:num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  <w:t>Je to vlastně „forma peněz“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  <w:t>Ceniny se účtují jako krátkodobý finanční majetek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  <w:t>Ceniny lze dělit podle určení:</w:t>
      </w:r>
    </w:p>
    <w:p w:rsidR="00D46582" w:rsidRPr="00D46582" w:rsidRDefault="00D46582" w:rsidP="00D46582">
      <w:pPr>
        <w:pStyle w:val="Odstavecseseznamem"/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FF9999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/>
          <w:bCs/>
          <w:color w:val="FF9999"/>
          <w:sz w:val="24"/>
          <w:szCs w:val="24"/>
          <w:lang w:eastAsia="cs-CZ"/>
        </w:rPr>
        <w:t xml:space="preserve">ceniny k úhradě poplatků nebo daní 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kolkové známky</w:t>
      </w:r>
      <w:r w:rsidR="003A79F3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 xml:space="preserve"> </w:t>
      </w: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 xml:space="preserve">– pro platbu poplatků ve prospěch státu 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dálniční nálepky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tabákové nálepky, prokazující zaplacení spotřební daně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kontrolní pásky ke značení lihu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nálepky, žetony nebo jiné ceniny potvrzující zaplacení poplatku za svoz odpadu</w:t>
      </w:r>
    </w:p>
    <w:p w:rsidR="00D46582" w:rsidRDefault="00D46582" w:rsidP="00D46582">
      <w:pPr>
        <w:pStyle w:val="Odstavecseseznamem"/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D46582" w:rsidRPr="00D46582" w:rsidRDefault="00D46582" w:rsidP="00D46582">
      <w:pPr>
        <w:pStyle w:val="Odstavecseseznamem"/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FF9999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/>
          <w:bCs/>
          <w:color w:val="FF9999"/>
          <w:sz w:val="24"/>
          <w:szCs w:val="24"/>
          <w:lang w:eastAsia="cs-CZ"/>
        </w:rPr>
        <w:t xml:space="preserve">ceniny k úhradě služeb 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poštovní známky</w:t>
      </w:r>
    </w:p>
    <w:p w:rsidR="000E755A" w:rsidRDefault="000E755A" w:rsidP="000E755A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0E755A" w:rsidRDefault="00816FB2" w:rsidP="000E755A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>
        <w:rPr>
          <w:noProof/>
        </w:rPr>
        <w:pict>
          <v:rect id="Obdélník 3" o:spid="_x0000_s1027" style="position:absolute;left:0;text-align:left;margin-left:252.75pt;margin-top:157.4pt;width:63pt;height:21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" filled="f" stroked="f">
            <v:textbox style="mso-fit-shape-to-text:t">
              <w:txbxContent>
                <w:p w:rsidR="00346C3A" w:rsidRPr="00346C3A" w:rsidRDefault="00346C3A" w:rsidP="00346C3A">
                  <w:pPr>
                    <w:pStyle w:val="Normlnweb"/>
                    <w:spacing w:before="0" w:beforeAutospacing="0" w:after="0" w:afterAutospacing="0"/>
                    <w:textAlignment w:val="baseline"/>
                    <w:rPr>
                      <w:sz w:val="20"/>
                      <w:szCs w:val="20"/>
                    </w:rPr>
                  </w:pPr>
                  <w:r w:rsidRPr="00346C3A">
                    <w:rPr>
                      <w:rFonts w:eastAsia="+mn-ea"/>
                      <w:b/>
                      <w:bCs/>
                      <w:color w:val="000000"/>
                      <w:kern w:val="24"/>
                      <w:sz w:val="20"/>
                      <w:szCs w:val="20"/>
                    </w:rPr>
                    <w:t xml:space="preserve"> </w:t>
                  </w:r>
                  <w:r w:rsidRPr="00346C3A">
                    <w:rPr>
                      <w:rFonts w:eastAsia="+mn-ea"/>
                      <w:b/>
                      <w:bCs/>
                      <w:color w:val="000000"/>
                      <w:kern w:val="24"/>
                      <w:sz w:val="20"/>
                      <w:szCs w:val="20"/>
                      <w:lang w:val="en-US"/>
                    </w:rPr>
                    <w:t>[</w:t>
                  </w:r>
                  <w:r w:rsidRPr="00346C3A">
                    <w:rPr>
                      <w:rFonts w:eastAsia="+mn-ea"/>
                      <w:b/>
                      <w:bCs/>
                      <w:color w:val="000000"/>
                      <w:kern w:val="24"/>
                      <w:sz w:val="20"/>
                      <w:szCs w:val="20"/>
                    </w:rPr>
                    <w:t>Obr. 1</w:t>
                  </w:r>
                  <w:r w:rsidRPr="00346C3A">
                    <w:rPr>
                      <w:rFonts w:eastAsia="+mn-ea"/>
                      <w:b/>
                      <w:bCs/>
                      <w:color w:val="000000"/>
                      <w:kern w:val="24"/>
                      <w:sz w:val="20"/>
                      <w:szCs w:val="20"/>
                      <w:lang w:val="en-US"/>
                    </w:rPr>
                    <w:t>]</w:t>
                  </w:r>
                </w:p>
              </w:txbxContent>
            </v:textbox>
          </v:rect>
        </w:pict>
      </w:r>
      <w:r w:rsidR="000E755A">
        <w:rPr>
          <w:noProof/>
          <w:color w:val="0000FF"/>
          <w:lang w:eastAsia="cs-CZ"/>
        </w:rPr>
        <w:drawing>
          <wp:inline distT="0" distB="0" distL="0" distR="0" wp14:anchorId="2912377E" wp14:editId="3AE7956B">
            <wp:extent cx="2095500" cy="1876425"/>
            <wp:effectExtent l="0" t="0" r="0" b="9525"/>
            <wp:docPr id="20" name="obrázek 1" descr="http://upload.wikimedia.org/wikipedia/commons/thumb/4/40/Czekhoslovakia-hradcany-1918.jpg/220px-Czekhoslovakia-hradcany-1918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4/40/Czekhoslovakia-hradcany-1918.jpg/220px-Czekhoslovakia-hradcany-1918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55A" w:rsidRDefault="000E755A" w:rsidP="000E755A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0E755A" w:rsidRPr="000E755A" w:rsidRDefault="000E755A" w:rsidP="000E755A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21" name="Obrázek 2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dopravní ceniny (jízdenky všech druhů, místenky, letenky, některé zavazadlové lístky)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vstupenky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telefonní karty (pro veřejné automaty i předplacené karty pro mobilní telefony)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 xml:space="preserve">stravenky, zejména určené k platbám v podnicích veřejného stravování </w:t>
      </w:r>
      <w:r w:rsidR="00816FB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br/>
      </w:r>
      <w:bookmarkStart w:id="0" w:name="_GoBack"/>
      <w:bookmarkEnd w:id="0"/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a veřejných prodejnách; v ČR nemají samostatnou legislativní úpravu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poukázky na úhradu různých jiných služeb: cestovní poukázky (na zajištění dovolené), poukázky na sport a kulturu, na preventivní a nadstandardní zdravotní péči, na vzdělávání atd.</w:t>
      </w:r>
    </w:p>
    <w:p w:rsidR="00D46582" w:rsidRDefault="00D46582" w:rsidP="00D46582">
      <w:pPr>
        <w:pStyle w:val="Odstavecseseznamem"/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D46582" w:rsidRDefault="00D46582" w:rsidP="00D46582">
      <w:pPr>
        <w:pStyle w:val="Odstavecseseznamem"/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D46582" w:rsidRPr="00D46582" w:rsidRDefault="00D46582" w:rsidP="00D46582">
      <w:pPr>
        <w:pStyle w:val="Odstavecseseznamem"/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/>
          <w:bCs/>
          <w:color w:val="FF9999"/>
          <w:sz w:val="24"/>
          <w:szCs w:val="24"/>
          <w:lang w:eastAsia="cs-CZ"/>
        </w:rPr>
        <w:t>ceniny k platbám za zboží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 xml:space="preserve">některé druhy stravenek </w:t>
      </w:r>
    </w:p>
    <w:p w:rsidR="00D46582" w:rsidRP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dárkové poukázky na nákup zboží</w:t>
      </w:r>
    </w:p>
    <w:p w:rsidR="00D46582" w:rsidRDefault="00D46582" w:rsidP="00D46582">
      <w:pPr>
        <w:pStyle w:val="Odstavecseseznamem"/>
        <w:numPr>
          <w:ilvl w:val="0"/>
          <w:numId w:val="3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  <w:r w:rsidRPr="00D46582"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  <w:t>slevové poukázky</w:t>
      </w:r>
    </w:p>
    <w:p w:rsidR="00290D32" w:rsidRPr="00EC6407" w:rsidRDefault="00290D32" w:rsidP="00290D32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6F647E"/>
          <w:sz w:val="24"/>
          <w:szCs w:val="24"/>
          <w:lang w:eastAsia="cs-CZ"/>
        </w:rPr>
      </w:pPr>
    </w:p>
    <w:p w:rsidR="00290D32" w:rsidRDefault="00290D32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290D32" w:rsidRDefault="00290D32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</w:pPr>
    </w:p>
    <w:p w:rsidR="00346C3A" w:rsidRDefault="00346C3A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</w:pPr>
    </w:p>
    <w:p w:rsidR="00346C3A" w:rsidRDefault="00346C3A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noProof/>
          <w:color w:val="64616F"/>
          <w:sz w:val="24"/>
          <w:szCs w:val="24"/>
          <w:lang w:eastAsia="cs-CZ"/>
        </w:rPr>
      </w:pPr>
    </w:p>
    <w:p w:rsidR="00346C3A" w:rsidRDefault="00346C3A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290D32" w:rsidRDefault="00290D32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290D32" w:rsidRDefault="00290D32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D46582" w:rsidRDefault="00D46582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  <w:r w:rsidRPr="00EC6407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>
            <wp:extent cx="5648325" cy="1093832"/>
            <wp:effectExtent l="0" t="0" r="0" b="0"/>
            <wp:docPr id="19" name="Obrázek 1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582" w:rsidRDefault="00D46582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00374A" w:rsidRPr="00AB17F0" w:rsidRDefault="0000374A" w:rsidP="0000374A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00374A" w:rsidRPr="00AB17F0" w:rsidRDefault="0000374A" w:rsidP="0000374A">
      <w:pPr>
        <w:rPr>
          <w:rFonts w:ascii="Arial" w:eastAsia="Arial" w:hAnsi="Arial" w:cs="Arial"/>
          <w:sz w:val="24"/>
          <w:szCs w:val="24"/>
        </w:rPr>
      </w:pPr>
    </w:p>
    <w:p w:rsidR="0000374A" w:rsidRPr="00AB17F0" w:rsidRDefault="0000374A" w:rsidP="0000374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</w:p>
    <w:p w:rsidR="0000374A" w:rsidRPr="00AB17F0" w:rsidRDefault="0000374A" w:rsidP="0000374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00374A" w:rsidRPr="00AB17F0" w:rsidRDefault="0000374A" w:rsidP="0000374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00374A" w:rsidRPr="00AB17F0" w:rsidRDefault="0000374A" w:rsidP="0000374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00374A" w:rsidRPr="00EC6407" w:rsidRDefault="0000374A" w:rsidP="00EC6407">
      <w:pPr>
        <w:spacing w:before="100" w:beforeAutospacing="1" w:after="100" w:afterAutospacing="1" w:line="360" w:lineRule="auto"/>
        <w:ind w:left="720"/>
        <w:contextualSpacing/>
        <w:outlineLvl w:val="2"/>
        <w:rPr>
          <w:rFonts w:ascii="Arial" w:eastAsia="Times New Roman" w:hAnsi="Arial" w:cs="Arial"/>
          <w:bCs/>
          <w:color w:val="323232"/>
          <w:sz w:val="24"/>
          <w:szCs w:val="24"/>
          <w:lang w:eastAsia="cs-CZ"/>
        </w:rPr>
      </w:pPr>
    </w:p>
    <w:p w:rsidR="00EC6407" w:rsidRDefault="00346C3A" w:rsidP="00346C3A">
      <w:pPr>
        <w:pStyle w:val="Odstavecseseznamem"/>
        <w:numPr>
          <w:ilvl w:val="0"/>
          <w:numId w:val="10"/>
        </w:numPr>
        <w:ind w:left="426"/>
      </w:pPr>
      <w:r w:rsidRPr="00346C3A">
        <w:t>AUTOR NEUVEDEN. wikip</w:t>
      </w:r>
      <w:r>
        <w:t xml:space="preserve">emedia.org [online]. [cit. </w:t>
      </w:r>
      <w:proofErr w:type="gramStart"/>
      <w:r>
        <w:t>2.8.2013</w:t>
      </w:r>
      <w:proofErr w:type="gramEnd"/>
      <w:r w:rsidRPr="00346C3A">
        <w:t>]. Dostupný na WWW: http://upload.wikimedia.org/wikipedia/commons/4/40/Czekhoslovakia-hradcany-1918.jpg?uselang=cs</w:t>
      </w:r>
    </w:p>
    <w:sectPr w:rsidR="00EC6407" w:rsidSect="008C4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53_"/>
        <o:lock v:ext="edit" cropping="t"/>
      </v:shape>
    </w:pict>
  </w:numPicBullet>
  <w:abstractNum w:abstractNumId="0">
    <w:nsid w:val="01071F8D"/>
    <w:multiLevelType w:val="hybridMultilevel"/>
    <w:tmpl w:val="E8FED9B8"/>
    <w:lvl w:ilvl="0" w:tplc="390E1CC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8E3973"/>
    <w:multiLevelType w:val="hybridMultilevel"/>
    <w:tmpl w:val="81F06F9E"/>
    <w:lvl w:ilvl="0" w:tplc="45B83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163B4"/>
    <w:multiLevelType w:val="hybridMultilevel"/>
    <w:tmpl w:val="C882ADE2"/>
    <w:lvl w:ilvl="0" w:tplc="390E1CC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826C5"/>
    <w:multiLevelType w:val="hybridMultilevel"/>
    <w:tmpl w:val="9B905A3A"/>
    <w:lvl w:ilvl="0" w:tplc="390E1CC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2014619"/>
    <w:multiLevelType w:val="hybridMultilevel"/>
    <w:tmpl w:val="D752220C"/>
    <w:lvl w:ilvl="0" w:tplc="45B830A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34037"/>
    <w:multiLevelType w:val="hybridMultilevel"/>
    <w:tmpl w:val="588C5FA4"/>
    <w:lvl w:ilvl="0" w:tplc="390E1CC8">
      <w:start w:val="1"/>
      <w:numFmt w:val="bullet"/>
      <w:lvlText w:val=""/>
      <w:lvlPicBulletId w:val="0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5F77FBE"/>
    <w:multiLevelType w:val="hybridMultilevel"/>
    <w:tmpl w:val="CE063A0E"/>
    <w:lvl w:ilvl="0" w:tplc="390E1CC8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7EB7F68"/>
    <w:multiLevelType w:val="hybridMultilevel"/>
    <w:tmpl w:val="12BAC1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37E9A"/>
    <w:multiLevelType w:val="hybridMultilevel"/>
    <w:tmpl w:val="746E4316"/>
    <w:lvl w:ilvl="0" w:tplc="45B830A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DBE48C7"/>
    <w:multiLevelType w:val="hybridMultilevel"/>
    <w:tmpl w:val="8C46F94A"/>
    <w:lvl w:ilvl="0" w:tplc="45B830A4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6407"/>
    <w:rsid w:val="0000374A"/>
    <w:rsid w:val="0009492E"/>
    <w:rsid w:val="000E755A"/>
    <w:rsid w:val="00176E7D"/>
    <w:rsid w:val="0022283C"/>
    <w:rsid w:val="00222EA8"/>
    <w:rsid w:val="00290D32"/>
    <w:rsid w:val="0030624C"/>
    <w:rsid w:val="00346C3A"/>
    <w:rsid w:val="003A79F3"/>
    <w:rsid w:val="00440A4C"/>
    <w:rsid w:val="004A0E66"/>
    <w:rsid w:val="004E4EB4"/>
    <w:rsid w:val="00816FB2"/>
    <w:rsid w:val="00897B93"/>
    <w:rsid w:val="008C4B92"/>
    <w:rsid w:val="009541D1"/>
    <w:rsid w:val="009B06DE"/>
    <w:rsid w:val="00B3538A"/>
    <w:rsid w:val="00D46582"/>
    <w:rsid w:val="00EC6407"/>
    <w:rsid w:val="00FB1B86"/>
    <w:rsid w:val="00FF4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B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C6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640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C6407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346C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C6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640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C6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commons.wikimedia.org/wiki/File:Czekhoslovakia-hradcany-1918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8EBB76D-2C8E-47CD-8FC0-FF39D1D06A39}" type="doc">
      <dgm:prSet loTypeId="urn:microsoft.com/office/officeart/2005/8/layout/arrow3" loCatId="relationship" qsTypeId="urn:microsoft.com/office/officeart/2005/8/quickstyle/simple1" qsCatId="simple" csTypeId="urn:microsoft.com/office/officeart/2005/8/colors/accent6_5" csCatId="accent6" phldr="1"/>
      <dgm:spPr/>
      <dgm:t>
        <a:bodyPr/>
        <a:lstStyle/>
        <a:p>
          <a:endParaRPr lang="cs-CZ"/>
        </a:p>
      </dgm:t>
    </dgm:pt>
    <dgm:pt modelId="{97BB68F7-7989-4C8F-B1EE-E80B45DB417E}">
      <dgm:prSet phldrT="[Text]"/>
      <dgm:spPr>
        <a:xfrm>
          <a:off x="2145506" y="0"/>
          <a:ext cx="1295400" cy="876109"/>
        </a:xfrm>
        <a:noFill/>
        <a:ln>
          <a:noFill/>
        </a:ln>
        <a:effectLst/>
      </dgm:spPr>
      <dgm:t>
        <a:bodyPr/>
        <a:lstStyle/>
        <a:p>
          <a:r>
            <a:rPr lang="cs-CZ" b="0" cap="none" spc="0">
              <a:ln w="9207" cmpd="sng">
                <a:noFill/>
                <a:prstDash val="solid"/>
              </a:ln>
              <a:solidFill>
                <a:srgbClr val="64616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Arial"/>
              <a:ea typeface="+mn-ea"/>
              <a:cs typeface="+mn-cs"/>
            </a:rPr>
            <a:t>Peněžní</a:t>
          </a:r>
        </a:p>
      </dgm:t>
    </dgm:pt>
    <dgm:pt modelId="{2E94C8B5-2F0C-409D-97D7-9CA523970EF1}" type="parTrans" cxnId="{F886C19D-6EF9-47DD-8919-B6998B6D602B}">
      <dgm:prSet/>
      <dgm:spPr/>
      <dgm:t>
        <a:bodyPr/>
        <a:lstStyle/>
        <a:p>
          <a:endParaRPr lang="cs-CZ"/>
        </a:p>
      </dgm:t>
    </dgm:pt>
    <dgm:pt modelId="{42F7A547-8D9B-4867-865C-7AB46415A15C}" type="sibTrans" cxnId="{F886C19D-6EF9-47DD-8919-B6998B6D602B}">
      <dgm:prSet/>
      <dgm:spPr/>
      <dgm:t>
        <a:bodyPr/>
        <a:lstStyle/>
        <a:p>
          <a:endParaRPr lang="cs-CZ"/>
        </a:p>
      </dgm:t>
    </dgm:pt>
    <dgm:pt modelId="{DDE5B174-6705-4AEF-8B77-9EC86728BA94}">
      <dgm:prSet phldrT="[Text]"/>
      <dgm:spPr>
        <a:xfrm>
          <a:off x="607218" y="1209865"/>
          <a:ext cx="1295400" cy="876109"/>
        </a:xfrm>
        <a:noFill/>
        <a:ln>
          <a:noFill/>
        </a:ln>
        <a:effectLst/>
      </dgm:spPr>
      <dgm:t>
        <a:bodyPr/>
        <a:lstStyle/>
        <a:p>
          <a:r>
            <a:rPr lang="cs-CZ">
              <a:ln>
                <a:solidFill>
                  <a:srgbClr val="64616F"/>
                </a:solidFill>
              </a:ln>
              <a:solidFill>
                <a:srgbClr val="64616F"/>
              </a:solidFill>
              <a:latin typeface="Arial"/>
              <a:ea typeface="+mn-ea"/>
              <a:cs typeface="+mn-cs"/>
            </a:rPr>
            <a:t>prostředky</a:t>
          </a:r>
        </a:p>
      </dgm:t>
    </dgm:pt>
    <dgm:pt modelId="{6702708C-7814-4EC5-B7ED-73560672BDD0}" type="parTrans" cxnId="{585E3C97-7E0D-4BEA-9EEE-E3B9B4888E9E}">
      <dgm:prSet/>
      <dgm:spPr/>
      <dgm:t>
        <a:bodyPr/>
        <a:lstStyle/>
        <a:p>
          <a:endParaRPr lang="cs-CZ"/>
        </a:p>
      </dgm:t>
    </dgm:pt>
    <dgm:pt modelId="{799BA368-0440-4834-9ABA-5536A714A3DD}" type="sibTrans" cxnId="{585E3C97-7E0D-4BEA-9EEE-E3B9B4888E9E}">
      <dgm:prSet/>
      <dgm:spPr/>
      <dgm:t>
        <a:bodyPr/>
        <a:lstStyle/>
        <a:p>
          <a:endParaRPr lang="cs-CZ"/>
        </a:p>
      </dgm:t>
    </dgm:pt>
    <dgm:pt modelId="{4C40FA79-6F7B-4D98-A806-DE14303A6F0C}" type="pres">
      <dgm:prSet presAssocID="{F8EBB76D-2C8E-47CD-8FC0-FF39D1D06A39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D9066F82-1C02-4062-A237-03AB7C522A09}" type="pres">
      <dgm:prSet presAssocID="{F8EBB76D-2C8E-47CD-8FC0-FF39D1D06A39}" presName="divider" presStyleLbl="fgShp" presStyleIdx="0" presStyleCnt="1"/>
      <dgm:spPr>
        <a:xfrm rot="21300000">
          <a:off x="12422" y="812624"/>
          <a:ext cx="4023279" cy="460726"/>
        </a:xfrm>
        <a:prstGeom prst="mathMinus">
          <a:avLst/>
        </a:prstGeom>
        <a:solidFill>
          <a:srgbClr val="F14124">
            <a:tint val="4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F14124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E34D3B33-EF13-4A94-B563-DC4B8BDDA1A3}" type="pres">
      <dgm:prSet presAssocID="{97BB68F7-7989-4C8F-B1EE-E80B45DB417E}" presName="downArrow" presStyleLbl="node1" presStyleIdx="0" presStyleCnt="2"/>
      <dgm:spPr>
        <a:xfrm>
          <a:off x="485775" y="104298"/>
          <a:ext cx="1214437" cy="834390"/>
        </a:xfrm>
        <a:prstGeom prst="downArrow">
          <a:avLst/>
        </a:prstGeom>
        <a:solidFill>
          <a:srgbClr val="F14124">
            <a:lumMod val="40000"/>
            <a:lumOff val="60000"/>
            <a:alpha val="90000"/>
          </a:srgbClr>
        </a:solidFill>
        <a:ln w="15875" cap="flat" cmpd="sng" algn="ctr">
          <a:solidFill>
            <a:srgbClr val="F14124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8D8D1391-116B-41DE-8D3D-07F03BA65EC0}" type="pres">
      <dgm:prSet presAssocID="{97BB68F7-7989-4C8F-B1EE-E80B45DB417E}" presName="downArrow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  <dgm:pt modelId="{456DA388-DB86-4C03-A7A1-2FD14DC144E8}" type="pres">
      <dgm:prSet presAssocID="{DDE5B174-6705-4AEF-8B77-9EC86728BA94}" presName="upArrow" presStyleLbl="node1" presStyleIdx="1" presStyleCnt="2"/>
      <dgm:spPr>
        <a:xfrm>
          <a:off x="2347912" y="1147286"/>
          <a:ext cx="1214437" cy="834390"/>
        </a:xfrm>
        <a:prstGeom prst="upArrow">
          <a:avLst/>
        </a:prstGeom>
        <a:solidFill>
          <a:srgbClr val="F14124">
            <a:alpha val="90000"/>
            <a:hueOff val="0"/>
            <a:satOff val="0"/>
            <a:lumOff val="0"/>
            <a:alphaOff val="-40000"/>
          </a:srgbClr>
        </a:solidFill>
        <a:ln w="15875" cap="flat" cmpd="sng" algn="ctr">
          <a:solidFill>
            <a:srgbClr val="F14124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C567FA77-AD59-478B-937D-39B3B229EE7E}" type="pres">
      <dgm:prSet presAssocID="{DDE5B174-6705-4AEF-8B77-9EC86728BA94}" presName="upArrow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</dgm:ptLst>
  <dgm:cxnLst>
    <dgm:cxn modelId="{040AAC73-2538-4C2E-8F5E-8AD788177F42}" type="presOf" srcId="{DDE5B174-6705-4AEF-8B77-9EC86728BA94}" destId="{C567FA77-AD59-478B-937D-39B3B229EE7E}" srcOrd="0" destOrd="0" presId="urn:microsoft.com/office/officeart/2005/8/layout/arrow3"/>
    <dgm:cxn modelId="{585E3C97-7E0D-4BEA-9EEE-E3B9B4888E9E}" srcId="{F8EBB76D-2C8E-47CD-8FC0-FF39D1D06A39}" destId="{DDE5B174-6705-4AEF-8B77-9EC86728BA94}" srcOrd="1" destOrd="0" parTransId="{6702708C-7814-4EC5-B7ED-73560672BDD0}" sibTransId="{799BA368-0440-4834-9ABA-5536A714A3DD}"/>
    <dgm:cxn modelId="{F886C19D-6EF9-47DD-8919-B6998B6D602B}" srcId="{F8EBB76D-2C8E-47CD-8FC0-FF39D1D06A39}" destId="{97BB68F7-7989-4C8F-B1EE-E80B45DB417E}" srcOrd="0" destOrd="0" parTransId="{2E94C8B5-2F0C-409D-97D7-9CA523970EF1}" sibTransId="{42F7A547-8D9B-4867-865C-7AB46415A15C}"/>
    <dgm:cxn modelId="{62559F25-918E-464B-AB18-96A7249DEF28}" type="presOf" srcId="{97BB68F7-7989-4C8F-B1EE-E80B45DB417E}" destId="{8D8D1391-116B-41DE-8D3D-07F03BA65EC0}" srcOrd="0" destOrd="0" presId="urn:microsoft.com/office/officeart/2005/8/layout/arrow3"/>
    <dgm:cxn modelId="{0976F9C6-0EA6-46DC-A2EC-7969384B9F5F}" type="presOf" srcId="{F8EBB76D-2C8E-47CD-8FC0-FF39D1D06A39}" destId="{4C40FA79-6F7B-4D98-A806-DE14303A6F0C}" srcOrd="0" destOrd="0" presId="urn:microsoft.com/office/officeart/2005/8/layout/arrow3"/>
    <dgm:cxn modelId="{243723CE-11B6-48B6-BA95-2C235EDC8629}" type="presParOf" srcId="{4C40FA79-6F7B-4D98-A806-DE14303A6F0C}" destId="{D9066F82-1C02-4062-A237-03AB7C522A09}" srcOrd="0" destOrd="0" presId="urn:microsoft.com/office/officeart/2005/8/layout/arrow3"/>
    <dgm:cxn modelId="{DEE014AC-AA06-4A56-8F58-4D00BC459B8A}" type="presParOf" srcId="{4C40FA79-6F7B-4D98-A806-DE14303A6F0C}" destId="{E34D3B33-EF13-4A94-B563-DC4B8BDDA1A3}" srcOrd="1" destOrd="0" presId="urn:microsoft.com/office/officeart/2005/8/layout/arrow3"/>
    <dgm:cxn modelId="{8779E51A-9B42-495B-B515-0599FCDC1B42}" type="presParOf" srcId="{4C40FA79-6F7B-4D98-A806-DE14303A6F0C}" destId="{8D8D1391-116B-41DE-8D3D-07F03BA65EC0}" srcOrd="2" destOrd="0" presId="urn:microsoft.com/office/officeart/2005/8/layout/arrow3"/>
    <dgm:cxn modelId="{ADC7A62F-6CD4-4DC2-8E5A-DAAE9B2F8FD7}" type="presParOf" srcId="{4C40FA79-6F7B-4D98-A806-DE14303A6F0C}" destId="{456DA388-DB86-4C03-A7A1-2FD14DC144E8}" srcOrd="3" destOrd="0" presId="urn:microsoft.com/office/officeart/2005/8/layout/arrow3"/>
    <dgm:cxn modelId="{E7BC35C8-4FF7-4479-AB08-C5C9322CCB54}" type="presParOf" srcId="{4C40FA79-6F7B-4D98-A806-DE14303A6F0C}" destId="{C567FA77-AD59-478B-937D-39B3B229EE7E}" srcOrd="4" destOrd="0" presId="urn:microsoft.com/office/officeart/2005/8/layout/arrow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9066F82-1C02-4062-A237-03AB7C522A09}">
      <dsp:nvSpPr>
        <dsp:cNvPr id="0" name=""/>
        <dsp:cNvSpPr/>
      </dsp:nvSpPr>
      <dsp:spPr>
        <a:xfrm rot="21300000">
          <a:off x="12422" y="812624"/>
          <a:ext cx="4023279" cy="460726"/>
        </a:xfrm>
        <a:prstGeom prst="mathMinus">
          <a:avLst/>
        </a:prstGeom>
        <a:solidFill>
          <a:srgbClr val="F14124">
            <a:tint val="40000"/>
            <a:hueOff val="0"/>
            <a:satOff val="0"/>
            <a:lumOff val="0"/>
            <a:alphaOff val="0"/>
          </a:srgbClr>
        </a:solidFill>
        <a:ln w="15875" cap="flat" cmpd="sng" algn="ctr">
          <a:solidFill>
            <a:srgbClr val="F14124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34D3B33-EF13-4A94-B563-DC4B8BDDA1A3}">
      <dsp:nvSpPr>
        <dsp:cNvPr id="0" name=""/>
        <dsp:cNvSpPr/>
      </dsp:nvSpPr>
      <dsp:spPr>
        <a:xfrm>
          <a:off x="485775" y="104298"/>
          <a:ext cx="1214437" cy="834390"/>
        </a:xfrm>
        <a:prstGeom prst="downArrow">
          <a:avLst/>
        </a:prstGeom>
        <a:solidFill>
          <a:srgbClr val="F14124">
            <a:lumMod val="40000"/>
            <a:lumOff val="60000"/>
            <a:alpha val="90000"/>
          </a:srgbClr>
        </a:solidFill>
        <a:ln w="15875" cap="flat" cmpd="sng" algn="ctr">
          <a:solidFill>
            <a:srgbClr val="F14124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D8D1391-116B-41DE-8D3D-07F03BA65EC0}">
      <dsp:nvSpPr>
        <dsp:cNvPr id="0" name=""/>
        <dsp:cNvSpPr/>
      </dsp:nvSpPr>
      <dsp:spPr>
        <a:xfrm>
          <a:off x="2145506" y="0"/>
          <a:ext cx="1295400" cy="87610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700" b="0" kern="1200" cap="none" spc="0">
              <a:ln w="9207" cmpd="sng">
                <a:noFill/>
                <a:prstDash val="solid"/>
              </a:ln>
              <a:solidFill>
                <a:srgbClr val="64616F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Arial"/>
              <a:ea typeface="+mn-ea"/>
              <a:cs typeface="+mn-cs"/>
            </a:rPr>
            <a:t>Peněžní</a:t>
          </a:r>
        </a:p>
      </dsp:txBody>
      <dsp:txXfrm>
        <a:off x="2145506" y="0"/>
        <a:ext cx="1295400" cy="876109"/>
      </dsp:txXfrm>
    </dsp:sp>
    <dsp:sp modelId="{456DA388-DB86-4C03-A7A1-2FD14DC144E8}">
      <dsp:nvSpPr>
        <dsp:cNvPr id="0" name=""/>
        <dsp:cNvSpPr/>
      </dsp:nvSpPr>
      <dsp:spPr>
        <a:xfrm>
          <a:off x="2347912" y="1147286"/>
          <a:ext cx="1214437" cy="834390"/>
        </a:xfrm>
        <a:prstGeom prst="upArrow">
          <a:avLst/>
        </a:prstGeom>
        <a:solidFill>
          <a:srgbClr val="F14124">
            <a:alpha val="90000"/>
            <a:hueOff val="0"/>
            <a:satOff val="0"/>
            <a:lumOff val="0"/>
            <a:alphaOff val="-40000"/>
          </a:srgbClr>
        </a:solidFill>
        <a:ln w="15875" cap="flat" cmpd="sng" algn="ctr">
          <a:solidFill>
            <a:srgbClr val="F14124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567FA77-AD59-478B-937D-39B3B229EE7E}">
      <dsp:nvSpPr>
        <dsp:cNvPr id="0" name=""/>
        <dsp:cNvSpPr/>
      </dsp:nvSpPr>
      <dsp:spPr>
        <a:xfrm>
          <a:off x="607218" y="1209865"/>
          <a:ext cx="1295400" cy="87610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700" kern="1200">
              <a:ln>
                <a:solidFill>
                  <a:srgbClr val="64616F"/>
                </a:solidFill>
              </a:ln>
              <a:solidFill>
                <a:srgbClr val="64616F"/>
              </a:solidFill>
              <a:latin typeface="Arial"/>
              <a:ea typeface="+mn-ea"/>
              <a:cs typeface="+mn-cs"/>
            </a:rPr>
            <a:t>prostředky</a:t>
          </a:r>
        </a:p>
      </dsp:txBody>
      <dsp:txXfrm>
        <a:off x="607218" y="1209865"/>
        <a:ext cx="1295400" cy="8761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3">
  <dgm:title val=""/>
  <dgm:desc val=""/>
  <dgm:catLst>
    <dgm:cat type="relationship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none"/>
      <dgm:param type="vertAlign" val="none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hoose name="Name2">
          <dgm:if name="Name3" axis="ch" ptType="node" func="cnt" op="gte" val="2">
            <dgm:constrLst>
              <dgm:constr type="w" for="ch" forName="divider" refType="w"/>
              <dgm:constr type="h" for="ch" forName="divider" refType="w" fact="0.2"/>
              <dgm:constr type="h" for="ch" forName="divider" refType="h" op="gte" fact="0.2"/>
              <dgm:constr type="h" for="ch" forName="divider" refType="h" op="lte" fact="0.4"/>
              <dgm:constr type="ctrX" for="ch" forName="divider" refType="w" fact="0.5"/>
              <dgm:constr type="ctrY" for="ch" forName="divider" refType="h" fact="0.5"/>
              <dgm:constr type="w" for="ch" forName="downArrow" refType="w" fact="0.3"/>
              <dgm:constr type="h" for="ch" forName="downArrow" refType="h" fact="0.4"/>
              <dgm:constr type="l" for="ch" forName="downArrow" refType="w" fact="0.1"/>
              <dgm:constr type="t" for="ch" forName="downArrow" refType="h" fact="0.05"/>
              <dgm:constr type="lOff" for="ch" forName="downArrow" refType="w" fact="0.02"/>
              <dgm:constr type="w" for="ch" forName="downArrowText" refType="w" fact="0.32"/>
              <dgm:constr type="h" for="ch" forName="downArrowText" refType="h" fact="0.42"/>
              <dgm:constr type="t" for="ch" forName="downArrowText"/>
              <dgm:constr type="r" for="ch" forName="downArrowText" refType="w" fact="0.85"/>
              <dgm:constr type="w" for="ch" forName="upArrow" refType="w" fact="0.3"/>
              <dgm:constr type="h" for="ch" forName="upArrow" refType="h" fact="0.4"/>
              <dgm:constr type="b" for="ch" forName="upArrow" refType="h" fact="0.95"/>
              <dgm:constr type="r" for="ch" forName="upArrow" refType="w" fact="0.9"/>
              <dgm:constr type="rOff" for="ch" forName="upArrow" refType="w" fact="-0.02"/>
              <dgm:constr type="w" for="ch" forName="upArrowText" refType="w" fact="0.32"/>
              <dgm:constr type="h" for="ch" forName="upArrowText" refType="h" fact="0.42"/>
              <dgm:constr type="b" for="ch" forName="upArrowText" refType="h"/>
              <dgm:constr type="l" for="ch" forName="upArrowText" refType="w" fact="0.15"/>
              <dgm:constr type="primFontSz" for="ch" ptType="node" op="equ" val="65"/>
            </dgm:constrLst>
          </dgm:if>
          <dgm:else name="Name4">
            <dgm:constrLst>
              <dgm:constr type="w" for="ch" forName="downArrow" refType="w" fact="0.4"/>
              <dgm:constr type="h" for="ch" forName="downArrow" refType="h" fact="0.8"/>
              <dgm:constr type="l" for="ch" forName="downArrow" refType="w" fact="0.02"/>
              <dgm:constr type="t" for="ch" forName="downArrow" refType="h" fact="0.05"/>
              <dgm:constr type="lOff" for="ch" forName="downArrow" refType="w" fact="0.02"/>
              <dgm:constr type="w" for="ch" forName="downArrowText" refType="w" fact="0.5"/>
              <dgm:constr type="h" for="ch" forName="downArrowText" refType="h"/>
              <dgm:constr type="t" for="ch" forName="downArrowText"/>
              <dgm:constr type="r" for="ch" forName="downArrowText" refType="w"/>
              <dgm:constr type="primFontSz" for="ch" ptType="node" op="equ" val="65"/>
            </dgm:constrLst>
          </dgm:else>
        </dgm:choose>
      </dgm:if>
      <dgm:else name="Name5">
        <dgm:choose name="Name6">
          <dgm:if name="Name7" axis="ch" ptType="node" func="cnt" op="gte" val="2">
            <dgm:constrLst>
              <dgm:constr type="w" for="ch" forName="divider" refType="w"/>
              <dgm:constr type="h" for="ch" forName="divider" refType="w" fact="0.2"/>
              <dgm:constr type="h" for="ch" forName="divider" refType="h" op="gte" fact="0.2"/>
              <dgm:constr type="h" for="ch" forName="divider" refType="h" op="lte" fact="0.4"/>
              <dgm:constr type="ctrX" for="ch" forName="divider" refType="w" fact="0.5"/>
              <dgm:constr type="ctrY" for="ch" forName="divider" refType="h" fact="0.5"/>
              <dgm:constr type="w" for="ch" forName="downArrow" refType="w" fact="0.3"/>
              <dgm:constr type="h" for="ch" forName="downArrow" refType="h" fact="0.4"/>
              <dgm:constr type="r" for="ch" forName="downArrow" refType="w" fact="0.9"/>
              <dgm:constr type="t" for="ch" forName="downArrow" refType="h" fact="0.05"/>
              <dgm:constr type="rOff" for="ch" forName="downArrow" refType="w" fact="-0.02"/>
              <dgm:constr type="w" for="ch" forName="downArrowText" refType="w" fact="0.32"/>
              <dgm:constr type="h" for="ch" forName="downArrowText" refType="h" fact="0.42"/>
              <dgm:constr type="t" for="ch" forName="downArrowText"/>
              <dgm:constr type="l" for="ch" forName="downArrowText" refType="w" fact="0.15"/>
              <dgm:constr type="w" for="ch" forName="upArrow" refType="w" fact="0.3"/>
              <dgm:constr type="h" for="ch" forName="upArrow" refType="h" fact="0.4"/>
              <dgm:constr type="b" for="ch" forName="upArrow" refType="h" fact="0.95"/>
              <dgm:constr type="l" for="ch" forName="upArrow" refType="w" fact="0.1"/>
              <dgm:constr type="lOff" for="ch" forName="upArrow" refType="w" fact="0.02"/>
              <dgm:constr type="w" for="ch" forName="upArrowText" refType="w" fact="0.32"/>
              <dgm:constr type="h" for="ch" forName="upArrowText" refType="h" fact="0.42"/>
              <dgm:constr type="b" for="ch" forName="upArrowText" refType="h"/>
              <dgm:constr type="r" for="ch" forName="upArrowText" refType="w" fact="0.85"/>
              <dgm:constr type="primFontSz" for="ch" ptType="node" op="equ" val="65"/>
            </dgm:constrLst>
          </dgm:if>
          <dgm:else name="Name8">
            <dgm:constrLst>
              <dgm:constr type="w" for="ch" forName="downArrow" refType="w" fact="0.4"/>
              <dgm:constr type="h" for="ch" forName="downArrow" refType="h" fact="0.8"/>
              <dgm:constr type="r" for="ch" forName="downArrow" refType="w" fact="0.98"/>
              <dgm:constr type="t" for="ch" forName="downArrow" refType="h" fact="0.05"/>
              <dgm:constr type="rOff" for="ch" forName="downArrow" refType="w" fact="-0.02"/>
              <dgm:constr type="w" for="ch" forName="downArrowText" refType="w" fact="0.5"/>
              <dgm:constr type="h" for="ch" forName="downArrowText" refType="h"/>
              <dgm:constr type="t" for="ch" forName="downArrowText"/>
              <dgm:constr type="l" for="ch" forName="downArrowText"/>
              <dgm:constr type="primFontSz" for="ch" ptType="node" op="equ" val="65"/>
            </dgm:constrLst>
          </dgm:else>
        </dgm:choose>
      </dgm:else>
    </dgm:choose>
    <dgm:ruleLst/>
    <dgm:choose name="Name9">
      <dgm:if name="Name10" axis="ch" ptType="node" func="cnt" op="gte" val="2">
        <dgm:layoutNode name="divider" styleLbl="fgShp">
          <dgm:alg type="sp"/>
          <dgm:choose name="Name11">
            <dgm:if name="Name12" func="var" arg="dir" op="equ" val="norm">
              <dgm:shape xmlns:r="http://schemas.openxmlformats.org/officeDocument/2006/relationships" rot="-5" type="mathMinus" r:blip="">
                <dgm:adjLst/>
              </dgm:shape>
            </dgm:if>
            <dgm:else name="Name13">
              <dgm:shape xmlns:r="http://schemas.openxmlformats.org/officeDocument/2006/relationships" rot="5" type="mathMinus" r:blip="">
                <dgm:adjLst/>
              </dgm:shape>
            </dgm:else>
          </dgm:choose>
          <dgm:presOf/>
          <dgm:constrLst/>
          <dgm:ruleLst/>
        </dgm:layoutNode>
      </dgm:if>
      <dgm:else name="Name14"/>
    </dgm:choose>
    <dgm:forEach name="Name15" axis="ch" ptType="node" cnt="1">
      <dgm:layoutNode name="downArrow" styleLbl="node1">
        <dgm:alg type="sp"/>
        <dgm:shape xmlns:r="http://schemas.openxmlformats.org/officeDocument/2006/relationships" type="downArrow" r:blip="">
          <dgm:adjLst/>
        </dgm:shape>
        <dgm:presOf/>
        <dgm:constrLst/>
        <dgm:ruleLst/>
      </dgm:layoutNode>
      <dgm:layoutNode name="downArrowText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/>
        <dgm:ruleLst>
          <dgm:rule type="primFontSz" val="5" fact="NaN" max="NaN"/>
        </dgm:ruleLst>
      </dgm:layoutNode>
    </dgm:forEach>
    <dgm:forEach name="Name16" axis="ch" ptType="node" st="2" cnt="1">
      <dgm:layoutNode name="upArrow" styleLbl="node1">
        <dgm:alg type="sp"/>
        <dgm:shape xmlns:r="http://schemas.openxmlformats.org/officeDocument/2006/relationships" type="upArrow" r:blip="">
          <dgm:adjLst/>
        </dgm:shape>
        <dgm:presOf/>
        <dgm:constrLst/>
        <dgm:ruleLst/>
      </dgm:layoutNode>
      <dgm:layoutNode name="upArrowText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632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15</cp:revision>
  <dcterms:created xsi:type="dcterms:W3CDTF">2013-09-08T19:38:00Z</dcterms:created>
  <dcterms:modified xsi:type="dcterms:W3CDTF">2014-10-23T10:24:00Z</dcterms:modified>
</cp:coreProperties>
</file>